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A6585B" w:rsidP="003B2737">
                <w:pPr>
                  <w:pStyle w:val="KonuBal"/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84"/>
                      <w:szCs w:val="84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spellStart"/>
                    <w:r w:rsidR="003B2737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>İnovasyon</w:t>
                    </w:r>
                    <w:proofErr w:type="spellEnd"/>
                    <w:r w:rsidR="003B2737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 xml:space="preserve"> ve Rekabet Odaklı Kalkınma Çalışmaları</w:t>
                    </w:r>
                    <w:r w:rsidR="00017C2F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 xml:space="preserve"> </w:t>
                    </w:r>
                    <w:r w:rsidR="00185F00" w:rsidRPr="003B2737">
                      <w:rPr>
                        <w:color w:val="548DD4" w:themeColor="text2" w:themeTint="99"/>
                        <w:sz w:val="84"/>
                        <w:szCs w:val="84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A6585B" w:rsidP="00ED69EE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6527A">
                      <w:rPr>
                        <w:b/>
                        <w:sz w:val="96"/>
                        <w:szCs w:val="96"/>
                      </w:rPr>
                      <w:t>201</w:t>
                    </w:r>
                    <w:r w:rsidR="00ED69EE">
                      <w:rPr>
                        <w:b/>
                        <w:sz w:val="96"/>
                        <w:szCs w:val="96"/>
                      </w:rPr>
                      <w:t>8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A6585B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12B478" wp14:editId="5DA2675D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A6439B8" wp14:editId="3207270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701F10" wp14:editId="03649084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B0C37" w:rsidRDefault="008B0C37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B0C37" w:rsidRDefault="008B0C37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408DA6A" wp14:editId="22AFF2C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5301365F" wp14:editId="708FCD4D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2471B2" w:rsidRDefault="002471B2" w:rsidP="003B1A7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 xml:space="preserve">I-MERKEZİN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MİSYON VE VİZYONU</w:t>
      </w:r>
    </w:p>
    <w:p w:rsidR="00787477" w:rsidRDefault="00787477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071B28" w:rsidRPr="00071B28" w:rsidRDefault="00071B28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71B28">
        <w:rPr>
          <w:rFonts w:asciiTheme="majorHAnsi" w:eastAsia="Calibri" w:hAnsiTheme="majorHAnsi" w:cs="InterstateLight"/>
          <w:b/>
          <w:lang w:val="de-DE"/>
        </w:rPr>
        <w:t>Vizyon</w:t>
      </w:r>
      <w:proofErr w:type="spellEnd"/>
      <w:r w:rsidRPr="00071B28">
        <w:rPr>
          <w:rFonts w:asciiTheme="majorHAnsi" w:eastAsia="Calibri" w:hAnsiTheme="majorHAnsi" w:cs="InterstateLight"/>
          <w:b/>
          <w:lang w:val="de-DE"/>
        </w:rPr>
        <w:t>:</w:t>
      </w:r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sürdürülebilir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kalkınmaya temel oluşturacak çalışmaların yapıldığı bir araştırma merkezi olmak ve bu alanlarda ulusal ve uluslararası referans olmak.</w:t>
      </w:r>
    </w:p>
    <w:p w:rsidR="00071B28" w:rsidRPr="00071B28" w:rsidRDefault="00071B28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71B28">
        <w:rPr>
          <w:rFonts w:asciiTheme="majorHAnsi" w:eastAsia="Calibri" w:hAnsiTheme="majorHAnsi" w:cs="InterstateLight"/>
          <w:b/>
          <w:lang w:val="de-DE"/>
        </w:rPr>
        <w:t>Misyon</w:t>
      </w:r>
      <w:proofErr w:type="spellEnd"/>
      <w:r w:rsidRPr="00071B28">
        <w:rPr>
          <w:rFonts w:asciiTheme="majorHAnsi" w:eastAsia="Calibri" w:hAnsiTheme="majorHAnsi" w:cs="InterstateLight"/>
          <w:b/>
          <w:lang w:val="de-DE"/>
        </w:rPr>
        <w:t>:</w:t>
      </w:r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çalışmaları için ortak bir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büyümenin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itici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gücü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rekabetçiliği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tabana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yaymak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;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rekabet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analitik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071B28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071B28">
        <w:rPr>
          <w:rFonts w:asciiTheme="majorHAnsi" w:eastAsia="Calibri" w:hAnsiTheme="majorHAnsi" w:cs="InterstateLight"/>
          <w:lang w:val="de-DE"/>
        </w:rPr>
        <w:t xml:space="preserve"> ampirik projeler üretmek. </w:t>
      </w:r>
    </w:p>
    <w:p w:rsidR="00E17ECD" w:rsidRDefault="00E17ECD" w:rsidP="003B1A72">
      <w:pPr>
        <w:shd w:val="clear" w:color="auto" w:fill="FFFFFF"/>
        <w:spacing w:after="0" w:line="300" w:lineRule="exact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37779A" w:rsidRPr="0037779A" w:rsidRDefault="0037779A" w:rsidP="0037779A">
      <w:pPr>
        <w:rPr>
          <w:rFonts w:asciiTheme="majorHAnsi" w:eastAsia="Calibri" w:hAnsiTheme="majorHAnsi" w:cs="InterstateLight"/>
          <w:lang w:val="de-DE"/>
        </w:rPr>
      </w:pPr>
      <w:proofErr w:type="spellStart"/>
      <w:r w:rsidRPr="0037779A">
        <w:rPr>
          <w:rFonts w:asciiTheme="majorHAnsi" w:eastAsia="Calibri" w:hAnsiTheme="majorHAnsi" w:cs="InterstateLight"/>
          <w:lang w:val="de-DE"/>
        </w:rPr>
        <w:t>Yenilikçi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dönüşüm-ve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bilgi toplumuna geçişte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araştırma, uygulama ve politika geliştirme çalışmaları için ortak bir platform oluşturmak. Bu çerçevede Merkez bünyesinde, açık bir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ortamı </w:t>
      </w:r>
      <w:proofErr w:type="gramStart"/>
      <w:r w:rsidRPr="0037779A">
        <w:rPr>
          <w:rFonts w:asciiTheme="majorHAnsi" w:eastAsia="Calibri" w:hAnsiTheme="majorHAnsi" w:cs="InterstateLight"/>
          <w:lang w:val="de-DE"/>
        </w:rPr>
        <w:t>olarak  Yenilikçi</w:t>
      </w:r>
      <w:proofErr w:type="gramEnd"/>
      <w:r w:rsidRPr="0037779A">
        <w:rPr>
          <w:rFonts w:asciiTheme="majorHAnsi" w:eastAsia="Calibri" w:hAnsiTheme="majorHAnsi" w:cs="InterstateLight"/>
          <w:lang w:val="de-DE"/>
        </w:rPr>
        <w:t xml:space="preserve"> Tarım ve Gıda İşletmeciliği </w:t>
      </w:r>
      <w:proofErr w:type="spellStart"/>
      <w:r w:rsidRPr="0037779A">
        <w:rPr>
          <w:rFonts w:asciiTheme="majorHAnsi" w:eastAsia="Calibri" w:hAnsiTheme="majorHAnsi" w:cs="InterstateLight"/>
          <w:lang w:val="de-DE"/>
        </w:rPr>
        <w:t>Platforum</w:t>
      </w:r>
      <w:proofErr w:type="spellEnd"/>
      <w:r w:rsidRPr="0037779A">
        <w:rPr>
          <w:rFonts w:asciiTheme="majorHAnsi" w:eastAsia="Calibri" w:hAnsiTheme="majorHAnsi" w:cs="InterstateLight"/>
          <w:lang w:val="de-DE"/>
        </w:rPr>
        <w:t xml:space="preserve"> BOUNTARIM kurulmuştur. </w:t>
      </w:r>
    </w:p>
    <w:p w:rsidR="0037779A" w:rsidRDefault="0037779A" w:rsidP="003B1A72">
      <w:pPr>
        <w:shd w:val="clear" w:color="auto" w:fill="FFFFFF"/>
        <w:spacing w:after="0" w:line="300" w:lineRule="exact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F0207" w:rsidRDefault="00522364" w:rsidP="009029C0">
      <w:pPr>
        <w:spacing w:after="0" w:line="28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2471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</w:p>
    <w:p w:rsidR="00787477" w:rsidRDefault="003B1A72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Merkezimiz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üzere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2011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kurulmuştur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.</w:t>
      </w:r>
    </w:p>
    <w:p w:rsidR="003B1A72" w:rsidRDefault="003B1A72" w:rsidP="009029C0">
      <w:pPr>
        <w:tabs>
          <w:tab w:val="left" w:pos="566"/>
        </w:tabs>
        <w:spacing w:after="0" w:line="28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3B1A72" w:rsidRDefault="003B1A72" w:rsidP="009029C0">
      <w:pPr>
        <w:tabs>
          <w:tab w:val="left" w:pos="566"/>
        </w:tabs>
        <w:spacing w:after="0" w:line="280" w:lineRule="exact"/>
        <w:jc w:val="both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Hedefleri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>:</w:t>
      </w:r>
    </w:p>
    <w:p w:rsidR="003B1A72" w:rsidRPr="003B1A72" w:rsidRDefault="003B1A72" w:rsidP="009029C0">
      <w:pPr>
        <w:tabs>
          <w:tab w:val="left" w:pos="566"/>
        </w:tabs>
        <w:spacing w:after="0" w:line="280" w:lineRule="exact"/>
        <w:jc w:val="both"/>
        <w:rPr>
          <w:rFonts w:asciiTheme="majorHAnsi" w:eastAsia="Calibri" w:hAnsiTheme="majorHAnsi" w:cs="InterstateLight"/>
          <w:b/>
          <w:lang w:val="de-DE"/>
        </w:rPr>
      </w:pP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Bilgi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sürecinde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rekabetçilik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yaparak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çözüm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önerileri geliştirmek </w:t>
      </w: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Bölgesel kalkınmaya yönelik ekonomik ve sosyal kalkınma alanlarında disiplinler arası araştırmalar yapmak </w:t>
      </w: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Ulusal ve bölgesel rekabet stratejileri ve politika önerileri geliştirmek </w:t>
      </w: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Bölgesel kalkınma ajansları ile işbirliği yapmak </w:t>
      </w: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Rekabet gücünü artıracak yapılanma önerileri geliştirmek ve paydaşlarla sonuçları paylaşmak </w:t>
      </w: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Girişimciliği ve yenilikçi düşünce sistemini saha araştırmaları ve eğitim ile yaygınlaştırmak </w:t>
      </w:r>
    </w:p>
    <w:p w:rsidR="003B1A72" w:rsidRP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Bölgesel, ulusal ve uluslararası ilgili kurumlarla işbirliği yapmak </w:t>
      </w:r>
    </w:p>
    <w:p w:rsidR="003B1A72" w:rsidRDefault="003B1A72" w:rsidP="009029C0">
      <w:pPr>
        <w:numPr>
          <w:ilvl w:val="0"/>
          <w:numId w:val="16"/>
        </w:num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Merkezin faaliyet alanlarında ilgili kurumlara danışmanlık ve eğitim hizmeti vermek </w:t>
      </w:r>
    </w:p>
    <w:p w:rsidR="003B1A72" w:rsidRPr="003B1A72" w:rsidRDefault="003B1A72" w:rsidP="009029C0">
      <w:pPr>
        <w:spacing w:after="0" w:line="280" w:lineRule="exact"/>
        <w:ind w:left="720"/>
        <w:rPr>
          <w:rFonts w:asciiTheme="majorHAnsi" w:eastAsia="Calibri" w:hAnsiTheme="majorHAnsi" w:cs="InterstateLight"/>
          <w:lang w:val="de-DE"/>
        </w:rPr>
      </w:pPr>
    </w:p>
    <w:p w:rsidR="003B1A72" w:rsidRDefault="003B1A72" w:rsidP="009029C0">
      <w:pPr>
        <w:tabs>
          <w:tab w:val="left" w:pos="566"/>
        </w:tabs>
        <w:spacing w:after="0" w:line="280" w:lineRule="exact"/>
        <w:jc w:val="both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b/>
          <w:lang w:val="de-DE"/>
        </w:rPr>
        <w:t>Amaçları</w:t>
      </w:r>
      <w:proofErr w:type="spellEnd"/>
      <w:r w:rsidRPr="003B1A72">
        <w:rPr>
          <w:rFonts w:asciiTheme="majorHAnsi" w:eastAsia="Calibri" w:hAnsiTheme="majorHAnsi" w:cs="InterstateLight"/>
          <w:b/>
          <w:lang w:val="de-DE"/>
        </w:rPr>
        <w:t>:</w:t>
      </w:r>
    </w:p>
    <w:p w:rsidR="003B1A72" w:rsidRPr="003B1A72" w:rsidRDefault="003B1A72" w:rsidP="009029C0">
      <w:pPr>
        <w:tabs>
          <w:tab w:val="left" w:pos="566"/>
        </w:tabs>
        <w:spacing w:after="0" w:line="280" w:lineRule="exact"/>
        <w:jc w:val="both"/>
        <w:rPr>
          <w:rFonts w:asciiTheme="majorHAnsi" w:eastAsia="Calibri" w:hAnsiTheme="majorHAnsi" w:cs="InterstateLight"/>
          <w:b/>
          <w:lang w:val="de-DE"/>
        </w:rPr>
      </w:pPr>
    </w:p>
    <w:p w:rsidR="003B1A72" w:rsidRPr="003B1A72" w:rsidRDefault="003B1A72" w:rsidP="009029C0">
      <w:pPr>
        <w:tabs>
          <w:tab w:val="left" w:pos="566"/>
        </w:tabs>
        <w:spacing w:after="0" w:line="28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a)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Dönüşüm-inovasyon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geçişte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politika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geliştirme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için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ortak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platform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Pr="003B1A72" w:rsidRDefault="003B1A72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büyümenin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itici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gücü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bilgi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rekabetçiliği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tabana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yaymak,</w:t>
      </w:r>
    </w:p>
    <w:p w:rsidR="003B1A72" w:rsidRPr="003B1A72" w:rsidRDefault="003B1A72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c)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İnovasyon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değişim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dönüşüme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öncülük eden faktörleri takip etmek, bu alanlarda analitik ve ampirik projeler üretmek, ulusal ve uluslararası referans olmak,</w:t>
      </w:r>
    </w:p>
    <w:p w:rsidR="003B1A72" w:rsidRPr="003B1A72" w:rsidRDefault="003B1A72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ç)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Bölgesel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kalkınmaya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yönelik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ekonomik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ve sosyal kalkınma alanlarında disiplinler arası araştırmalar yapmak ve bölgesel kalkınma ajansları işbirliği ile yaygın etkiyi sağlamak,</w:t>
      </w:r>
    </w:p>
    <w:p w:rsidR="003B1A72" w:rsidRDefault="003B1A72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d)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İnovasyon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bölgesel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ulusal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ilgili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kurumlarla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işbirliği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.</w:t>
      </w:r>
    </w:p>
    <w:p w:rsidR="003B1A72" w:rsidRPr="003B1A72" w:rsidRDefault="003B1A72" w:rsidP="009029C0">
      <w:pPr>
        <w:spacing w:after="0" w:line="280" w:lineRule="exact"/>
        <w:rPr>
          <w:rFonts w:asciiTheme="majorHAnsi" w:eastAsia="Calibri" w:hAnsiTheme="majorHAnsi" w:cs="InterstateLight"/>
          <w:lang w:val="de-DE"/>
        </w:rPr>
      </w:pPr>
    </w:p>
    <w:p w:rsid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lang w:val="de-DE"/>
        </w:rPr>
        <w:lastRenderedPageBreak/>
        <w:t>Merkezin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Faaliyet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lang w:val="de-DE"/>
        </w:rPr>
        <w:t>A</w:t>
      </w:r>
      <w:r w:rsidRPr="003B1A72">
        <w:rPr>
          <w:rFonts w:asciiTheme="majorHAnsi" w:eastAsia="Calibri" w:hAnsiTheme="majorHAnsi" w:cs="InterstateLight"/>
          <w:b/>
          <w:lang w:val="de-DE"/>
        </w:rPr>
        <w:t>lanları</w:t>
      </w:r>
      <w:proofErr w:type="spellEnd"/>
      <w:r>
        <w:rPr>
          <w:rFonts w:asciiTheme="majorHAnsi" w:eastAsia="Calibri" w:hAnsiTheme="majorHAnsi" w:cs="InterstateLight"/>
          <w:b/>
          <w:lang w:val="de-DE"/>
        </w:rPr>
        <w:t>: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a) Bilgi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toplumuna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geçiş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sürecinde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rekabetçilik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odaklı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disiplinlerarası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yaparak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eksenli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çözüm önerileri geliştirmek,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b)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Kentsel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bölgesel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kümelenme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stratejileri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oluşturmak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sektörel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katma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değer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yaratmak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c)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ticaret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dinamikleri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çerçevesinde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ulusal ve bölgesel dış ticaret rekabet stratejileri ve politika önerileri geliştirmek,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ç)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Sektörel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düzeyde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küresel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değer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zinciri ve tedarik zinciri yapılarını inceleyerek rekabet gücünü artıracak yapılanma önerileri geliştirmek ve paydaşlarla sonuçları paylaşmak,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d)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Sürdürülebilir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ekonomik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kalkınmanın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unsurlarından biri olan küçük ve orta boyutlu işletmelerin rekabet üstünlüğünü sağlamak ve kalıcı kılmak için girişimciliği ve yenilikçi düşünce sistemini saha araştırmaları ve eğitim ile yaygınlaştırmak,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e)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Gelişmiş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gelişmekte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olan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sektörler ve bölgeler için kıyaslama (benchmarking) analizleri yaparak mevcut durumu ve en iyi uygulamaları belirlemek, kalkınmaya yönelik politikalar üretmek ve sonuçlarını paydaşlarla paylaşmak,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f)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entegrasyon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sürecinde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çeşitli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ülkeler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uluslararası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kuruluşlar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rekabet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kalkınma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konularında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projeler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g)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Azgelişmiş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ülkelerin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sosyo-ekonomik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sorunlarını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araştırmak, bilgi-teknoloji ve kalkınma kavramlarını bu ülkeler için analiz etmek,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ğ)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Çalışmalar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sonucu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elde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edilen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bilgi ve bulguların toplumda yaygın etki sağlamasına yönelik faaliyetlerde bulunmak,</w:t>
      </w:r>
    </w:p>
    <w:p w:rsidR="003B1A72" w:rsidRPr="003B1A72" w:rsidRDefault="003B1A72" w:rsidP="003B1A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h)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faaliyet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ilgili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kurumlara danışmanlık ve eğitim hizmeti vermek,</w:t>
      </w:r>
    </w:p>
    <w:p w:rsidR="003B1A72" w:rsidRDefault="003B1A72" w:rsidP="001F1D44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B1A72">
        <w:rPr>
          <w:rFonts w:asciiTheme="majorHAnsi" w:eastAsia="Calibri" w:hAnsiTheme="majorHAnsi" w:cs="InterstateLight"/>
          <w:lang w:val="de-DE"/>
        </w:rPr>
        <w:t xml:space="preserve">ı)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faaliyet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alanlarında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kamu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ve özel sektöre projeler geliştirmek ve ilgili kurum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kuruluşlarla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işbirliği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B1A72">
        <w:rPr>
          <w:rFonts w:asciiTheme="majorHAnsi" w:eastAsia="Calibri" w:hAnsiTheme="majorHAnsi" w:cs="InterstateLight"/>
          <w:lang w:val="de-DE"/>
        </w:rPr>
        <w:t>yapmak</w:t>
      </w:r>
      <w:proofErr w:type="spellEnd"/>
      <w:r w:rsidRPr="003B1A72">
        <w:rPr>
          <w:rFonts w:asciiTheme="majorHAnsi" w:eastAsia="Calibri" w:hAnsiTheme="majorHAnsi" w:cs="InterstateLight"/>
          <w:lang w:val="de-DE"/>
        </w:rPr>
        <w:t>.</w:t>
      </w:r>
    </w:p>
    <w:p w:rsidR="00350622" w:rsidRDefault="00350622" w:rsidP="001F1D44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350622" w:rsidRDefault="00350622" w:rsidP="001F1D44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III-</w:t>
      </w:r>
      <w:r w:rsidRPr="0035062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TEMEL POLİTİKA VE ÖNCELİKLERİ</w:t>
      </w:r>
    </w:p>
    <w:p w:rsidR="001F1D44" w:rsidRPr="00350622" w:rsidRDefault="001F1D44" w:rsidP="001F1D44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350622" w:rsidRPr="00350622" w:rsidRDefault="00350622" w:rsidP="001F1D44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Merkezimizin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önceliği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kültürü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ve yenilikçi teknolojiler ile hızlanan dönüşüm çerçevesinde yenilikçi politika, strateji ve uygulamalarını üç eksende hayata geçirmek ve bu bağlamda rekabet gücünü yükseltecek bilgi üretimi ve paylaşımını sağlayan açık bir </w:t>
      </w:r>
      <w:proofErr w:type="spellStart"/>
      <w:r w:rsidRPr="00350622">
        <w:rPr>
          <w:rFonts w:asciiTheme="majorHAnsi" w:eastAsia="Calibri" w:hAnsiTheme="majorHAnsi" w:cs="InterstateLight"/>
          <w:lang w:val="de-DE"/>
        </w:rPr>
        <w:t>inovasyon</w:t>
      </w:r>
      <w:proofErr w:type="spellEnd"/>
      <w:r w:rsidRPr="00350622">
        <w:rPr>
          <w:rFonts w:asciiTheme="majorHAnsi" w:eastAsia="Calibri" w:hAnsiTheme="majorHAnsi" w:cs="InterstateLight"/>
          <w:lang w:val="de-DE"/>
        </w:rPr>
        <w:t xml:space="preserve"> ortamını sağlamaktır.</w:t>
      </w:r>
    </w:p>
    <w:p w:rsidR="00350622" w:rsidRPr="00350622" w:rsidRDefault="00350622" w:rsidP="001F1D44">
      <w:pPr>
        <w:pStyle w:val="ListeParagraf"/>
        <w:numPr>
          <w:ilvl w:val="0"/>
          <w:numId w:val="18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50622">
        <w:rPr>
          <w:rFonts w:asciiTheme="majorHAnsi" w:eastAsia="Calibri" w:hAnsiTheme="majorHAnsi" w:cs="InterstateLight"/>
          <w:lang w:val="de-DE"/>
        </w:rPr>
        <w:t>Araştırma</w:t>
      </w:r>
    </w:p>
    <w:p w:rsidR="00350622" w:rsidRPr="00350622" w:rsidRDefault="00350622" w:rsidP="001F1D44">
      <w:pPr>
        <w:pStyle w:val="ListeParagraf"/>
        <w:numPr>
          <w:ilvl w:val="0"/>
          <w:numId w:val="18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50622">
        <w:rPr>
          <w:rFonts w:asciiTheme="majorHAnsi" w:eastAsia="Calibri" w:hAnsiTheme="majorHAnsi" w:cs="InterstateLight"/>
          <w:lang w:val="de-DE"/>
        </w:rPr>
        <w:t>Eğitim</w:t>
      </w:r>
    </w:p>
    <w:p w:rsidR="00350622" w:rsidRPr="00350622" w:rsidRDefault="00350622" w:rsidP="001F1D44">
      <w:pPr>
        <w:pStyle w:val="ListeParagraf"/>
        <w:numPr>
          <w:ilvl w:val="0"/>
          <w:numId w:val="18"/>
        </w:num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350622">
        <w:rPr>
          <w:rFonts w:asciiTheme="majorHAnsi" w:eastAsia="Calibri" w:hAnsiTheme="majorHAnsi" w:cs="InterstateLight"/>
          <w:lang w:val="de-DE"/>
        </w:rPr>
        <w:t>Akademi-Sanayi-Kamu-STK işbirliği</w:t>
      </w:r>
    </w:p>
    <w:p w:rsidR="00350622" w:rsidRPr="003B1A72" w:rsidRDefault="00350622" w:rsidP="001F1D44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521E49" w:rsidRPr="009F73DF" w:rsidRDefault="00217925" w:rsidP="009F73DF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9F73DF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TARAFINDAN DÜZENLENEN </w:t>
      </w:r>
      <w:r w:rsidR="00521E4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BİLİMSEL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TOPLANTILAR</w:t>
      </w:r>
    </w:p>
    <w:p w:rsidR="009F73DF" w:rsidRPr="009F73DF" w:rsidRDefault="009F73DF" w:rsidP="009F73DF">
      <w:pPr>
        <w:pStyle w:val="Paragraf"/>
        <w:widowControl/>
        <w:tabs>
          <w:tab w:val="left" w:pos="300"/>
          <w:tab w:val="left" w:pos="4240"/>
          <w:tab w:val="left" w:pos="6820"/>
        </w:tabs>
        <w:spacing w:line="240" w:lineRule="atLeast"/>
        <w:rPr>
          <w:rFonts w:asciiTheme="majorHAnsi" w:eastAsia="Calibri" w:hAnsiTheme="majorHAnsi" w:cs="InterstateLight"/>
          <w:sz w:val="22"/>
          <w:szCs w:val="22"/>
          <w:lang w:val="de-DE" w:eastAsia="en-US"/>
        </w:rPr>
      </w:pPr>
    </w:p>
    <w:p w:rsidR="009F73DF" w:rsidRPr="009F73DF" w:rsidRDefault="009F73DF" w:rsidP="009F73DF">
      <w:pPr>
        <w:rPr>
          <w:rFonts w:asciiTheme="majorHAnsi" w:eastAsia="Calibri" w:hAnsiTheme="majorHAnsi" w:cs="InterstateLight"/>
          <w:b/>
          <w:lang w:val="de-DE"/>
        </w:rPr>
      </w:pPr>
      <w:r w:rsidRPr="009F73DF">
        <w:rPr>
          <w:rFonts w:asciiTheme="majorHAnsi" w:eastAsia="Calibri" w:hAnsiTheme="majorHAnsi" w:cs="InterstateLight"/>
          <w:b/>
          <w:lang w:val="de-DE"/>
        </w:rPr>
        <w:t xml:space="preserve">5G ve Ötesi Teknolojiler ve Türkiye Tarım Sektörünün Rekabet Gücü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Çalıştayı</w:t>
      </w:r>
      <w:proofErr w:type="spellEnd"/>
    </w:p>
    <w:p w:rsidR="009F73DF" w:rsidRPr="009F73DF" w:rsidRDefault="009F73DF" w:rsidP="009F73DF">
      <w:pPr>
        <w:jc w:val="both"/>
        <w:rPr>
          <w:rFonts w:asciiTheme="majorHAnsi" w:eastAsia="Calibri" w:hAnsiTheme="majorHAnsi" w:cs="InterstateLight"/>
          <w:lang w:val="de-DE"/>
        </w:rPr>
      </w:pPr>
      <w:r w:rsidRPr="009F73DF">
        <w:rPr>
          <w:rFonts w:asciiTheme="majorHAnsi" w:eastAsia="Calibri" w:hAnsiTheme="majorHAnsi" w:cs="InterstateLight"/>
          <w:lang w:val="de-DE"/>
        </w:rPr>
        <w:t xml:space="preserve">Boğaziçi Üniversitesi Yenilikçi Tarım ve Gıda İşletmeciliği Platformu ve Bilgi Teknolojileri ve İletişim Kurumu tarafından 18 Mayıs 2018 tarihinde Boğaziçi Üniversitesi Rektörlük Konferans Salonu’nda düzenlenen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çalıştayda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5G’nin tarımın rekabet gücüne olan etkisi katılımcılarla birlikte tartışıldı. </w:t>
      </w:r>
    </w:p>
    <w:p w:rsidR="009029C0" w:rsidRDefault="009029C0" w:rsidP="009F73DF">
      <w:pPr>
        <w:rPr>
          <w:rFonts w:asciiTheme="majorHAnsi" w:eastAsia="Calibri" w:hAnsiTheme="majorHAnsi" w:cs="InterstateLight"/>
          <w:b/>
          <w:lang w:val="de-DE"/>
        </w:rPr>
      </w:pPr>
    </w:p>
    <w:p w:rsidR="009029C0" w:rsidRDefault="009029C0" w:rsidP="009F73DF">
      <w:pPr>
        <w:rPr>
          <w:rFonts w:asciiTheme="majorHAnsi" w:eastAsia="Calibri" w:hAnsiTheme="majorHAnsi" w:cs="InterstateLight"/>
          <w:b/>
          <w:lang w:val="de-DE"/>
        </w:rPr>
      </w:pPr>
    </w:p>
    <w:p w:rsidR="009F73DF" w:rsidRPr="009F73DF" w:rsidRDefault="009F73DF" w:rsidP="009F73DF">
      <w:pPr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lastRenderedPageBreak/>
        <w:t>İklim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Değişikliği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Dünyamız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/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National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Geographic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on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Campus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>!</w:t>
      </w:r>
    </w:p>
    <w:p w:rsidR="009F73DF" w:rsidRPr="009F73DF" w:rsidRDefault="009F73DF" w:rsidP="009F73DF">
      <w:pPr>
        <w:jc w:val="both"/>
        <w:rPr>
          <w:rFonts w:asciiTheme="majorHAnsi" w:eastAsia="Calibri" w:hAnsiTheme="majorHAnsi" w:cs="InterstateLight"/>
          <w:lang w:val="de-DE"/>
        </w:rPr>
      </w:pPr>
      <w:r w:rsidRPr="009F73DF">
        <w:rPr>
          <w:rFonts w:asciiTheme="majorHAnsi" w:eastAsia="Calibri" w:hAnsiTheme="majorHAnsi" w:cs="InterstateLight"/>
          <w:lang w:val="de-DE"/>
        </w:rPr>
        <w:t xml:space="preserve">Boğaziçi Üniversitesi Yenilikçi Tarım ve Gıda İşletmeciliği Platformu, Sabancı Üniversitesi İstanbul Politikalar Merkezi ve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National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Geographic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tarafından 7 Mayıs 2018 tarihinde Boğaziçi Üniversitesi Rektörlük Konferans Salonu’nda ortaklaşa düzenlenen etkinlikte  iklim değişikliğinin gıda güvenliği ve yoksulluk etkileri üzerinde duruldu.</w:t>
      </w:r>
    </w:p>
    <w:p w:rsidR="009F73DF" w:rsidRPr="009F73DF" w:rsidRDefault="009F73DF" w:rsidP="009F73DF">
      <w:pPr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Tarım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Gıda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b/>
          <w:lang w:val="de-DE"/>
        </w:rPr>
        <w:t>Değer</w:t>
      </w:r>
      <w:proofErr w:type="spellEnd"/>
      <w:r w:rsidRPr="009F73DF">
        <w:rPr>
          <w:rFonts w:asciiTheme="majorHAnsi" w:eastAsia="Calibri" w:hAnsiTheme="majorHAnsi" w:cs="InterstateLight"/>
          <w:b/>
          <w:lang w:val="de-DE"/>
        </w:rPr>
        <w:t xml:space="preserve"> Zincirinde Yenilikçi Teknolojiler Açılış Konferansı</w:t>
      </w:r>
    </w:p>
    <w:p w:rsidR="00A9143F" w:rsidRPr="009F73DF" w:rsidRDefault="009F73DF" w:rsidP="009F73DF">
      <w:pPr>
        <w:jc w:val="both"/>
        <w:rPr>
          <w:rFonts w:asciiTheme="majorHAnsi" w:eastAsia="Calibri" w:hAnsiTheme="majorHAnsi" w:cs="InterstateLight"/>
          <w:lang w:val="de-DE"/>
        </w:rPr>
      </w:pPr>
      <w:r w:rsidRPr="009F73DF">
        <w:rPr>
          <w:rFonts w:asciiTheme="majorHAnsi" w:eastAsia="Calibri" w:hAnsiTheme="majorHAnsi" w:cs="InterstateLight"/>
          <w:lang w:val="de-DE"/>
        </w:rPr>
        <w:t xml:space="preserve">Boğaziçi Üniversitesi Yenilikçi Tarım ve Gıda İşletmeciliği Platformu tarafından düzenlenen konferans 22 Şubat 2018 tarihinde Boğaziçi Üniversitesi Rektörlük Konferans Salonu’nda gerçekleştirildi. Konferansta ilk olarak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Bountarım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Platformu’nun tanıtımı gerçekleştirildi ve sonrasında teknoloji ve tarım ilişkisi; akademisyenler, üreticiler, finansman kaynakları, politika yapıcılar, girdi ve teknoloji sağlayıcılar, enerji sektörü temsilcileri perakende sektörü temsilcileri,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sektörel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birlikler ve sivil toplum örgütleri tarafından dinamik ve yenilikçi bir akış içerisinde ele alındı. Konferansta Türkiye’de tarım için en büyük tehlikenin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iklim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değişikliği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olduğu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9F73DF">
        <w:rPr>
          <w:rFonts w:asciiTheme="majorHAnsi" w:eastAsia="Calibri" w:hAnsiTheme="majorHAnsi" w:cs="InterstateLight"/>
          <w:lang w:val="de-DE"/>
        </w:rPr>
        <w:t>vurgulandı</w:t>
      </w:r>
      <w:proofErr w:type="spellEnd"/>
      <w:r w:rsidRPr="009F73DF">
        <w:rPr>
          <w:rFonts w:asciiTheme="majorHAnsi" w:eastAsia="Calibri" w:hAnsiTheme="majorHAnsi" w:cs="InterstateLight"/>
          <w:lang w:val="de-DE"/>
        </w:rPr>
        <w:t>.</w:t>
      </w:r>
    </w:p>
    <w:p w:rsidR="007069E9" w:rsidRDefault="00D06D89" w:rsidP="0007140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 w:rsidR="007069E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7069E9" w:rsidRDefault="007069E9" w:rsidP="0007140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2D7459" w:rsidRPr="002D7459" w:rsidRDefault="007069E9" w:rsidP="007277D1">
      <w:pPr>
        <w:tabs>
          <w:tab w:val="left" w:pos="0"/>
        </w:tabs>
        <w:spacing w:after="0" w:line="300" w:lineRule="exact"/>
        <w:rPr>
          <w:rFonts w:ascii="Cambria" w:eastAsia="Calibri" w:hAnsi="Cambria"/>
          <w:b/>
          <w:color w:val="365F91" w:themeColor="accent1" w:themeShade="BF"/>
          <w:lang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lang w:eastAsia="tr-TR"/>
        </w:rPr>
        <w:tab/>
        <w:t xml:space="preserve">: </w:t>
      </w:r>
      <w:r w:rsidR="007277D1" w:rsidRPr="007277D1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Global </w:t>
      </w:r>
      <w:proofErr w:type="spellStart"/>
      <w:r w:rsidR="007277D1" w:rsidRPr="007277D1">
        <w:rPr>
          <w:rFonts w:ascii="Cambria" w:eastAsia="Calibri" w:hAnsi="Cambria"/>
          <w:b/>
          <w:color w:val="365F91" w:themeColor="accent1" w:themeShade="BF"/>
          <w:lang w:eastAsia="tr-TR"/>
        </w:rPr>
        <w:t>Future</w:t>
      </w:r>
      <w:proofErr w:type="spellEnd"/>
      <w:r w:rsidR="007277D1" w:rsidRPr="007277D1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7277D1" w:rsidRPr="007277D1">
        <w:rPr>
          <w:rFonts w:ascii="Cambria" w:eastAsia="Calibri" w:hAnsi="Cambria"/>
          <w:b/>
          <w:color w:val="365F91" w:themeColor="accent1" w:themeShade="BF"/>
          <w:lang w:eastAsia="tr-TR"/>
        </w:rPr>
        <w:t>Farming</w:t>
      </w:r>
      <w:proofErr w:type="spellEnd"/>
      <w:r w:rsidR="007277D1" w:rsidRPr="007277D1">
        <w:rPr>
          <w:rFonts w:ascii="Cambria" w:eastAsia="Calibri" w:hAnsi="Cambria"/>
          <w:b/>
          <w:color w:val="365F91" w:themeColor="accent1" w:themeShade="BF"/>
          <w:lang w:eastAsia="tr-TR"/>
        </w:rPr>
        <w:t xml:space="preserve"> </w:t>
      </w:r>
      <w:proofErr w:type="spellStart"/>
      <w:r w:rsidR="007277D1" w:rsidRPr="007277D1">
        <w:rPr>
          <w:rFonts w:ascii="Cambria" w:eastAsia="Calibri" w:hAnsi="Cambria"/>
          <w:b/>
          <w:color w:val="365F91" w:themeColor="accent1" w:themeShade="BF"/>
          <w:lang w:eastAsia="tr-TR"/>
        </w:rPr>
        <w:t>Summit</w:t>
      </w:r>
      <w:proofErr w:type="spellEnd"/>
    </w:p>
    <w:p w:rsidR="007069E9" w:rsidRPr="009866B7" w:rsidRDefault="007069E9" w:rsidP="0007140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7277D1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Gökhan </w:t>
      </w:r>
      <w:proofErr w:type="spellStart"/>
      <w:r w:rsidR="007277D1">
        <w:rPr>
          <w:rFonts w:asciiTheme="majorHAnsi" w:eastAsia="Calibri" w:hAnsiTheme="majorHAnsi" w:cs="InterstateLight"/>
          <w:sz w:val="22"/>
          <w:szCs w:val="22"/>
          <w:lang w:val="de-DE"/>
        </w:rPr>
        <w:t>Özertan</w:t>
      </w:r>
      <w:proofErr w:type="spellEnd"/>
    </w:p>
    <w:p w:rsidR="007069E9" w:rsidRPr="009866B7" w:rsidRDefault="007069E9" w:rsidP="0007140F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2D7459">
        <w:rPr>
          <w:rFonts w:asciiTheme="majorHAnsi" w:eastAsia="Calibri" w:hAnsiTheme="majorHAnsi" w:cs="InterstateLight"/>
          <w:color w:val="000000"/>
          <w:lang w:val="de-DE" w:eastAsia="zh-CN"/>
        </w:rPr>
        <w:t>05</w:t>
      </w:r>
      <w:r w:rsidR="007277D1">
        <w:rPr>
          <w:rFonts w:asciiTheme="majorHAnsi" w:eastAsia="Calibri" w:hAnsiTheme="majorHAnsi" w:cs="InterstateLight"/>
          <w:color w:val="000000"/>
          <w:lang w:val="de-DE" w:eastAsia="zh-CN"/>
        </w:rPr>
        <w:t>-06 Kasım 2018</w:t>
      </w:r>
    </w:p>
    <w:p w:rsidR="001C0F9D" w:rsidRDefault="007069E9" w:rsidP="007277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7277D1" w:rsidRPr="007277D1">
        <w:rPr>
          <w:rFonts w:asciiTheme="majorHAnsi" w:eastAsia="Calibri" w:hAnsiTheme="majorHAnsi" w:cs="InterstateLight"/>
          <w:color w:val="000000"/>
          <w:lang w:val="de-DE" w:eastAsia="zh-CN"/>
        </w:rPr>
        <w:t>Wageningen</w:t>
      </w:r>
      <w:proofErr w:type="spellEnd"/>
      <w:r w:rsidR="007277D1" w:rsidRPr="007277D1">
        <w:rPr>
          <w:rFonts w:asciiTheme="majorHAnsi" w:eastAsia="Calibri" w:hAnsiTheme="majorHAnsi" w:cs="InterstateLight"/>
          <w:color w:val="000000"/>
          <w:lang w:val="de-DE" w:eastAsia="zh-CN"/>
        </w:rPr>
        <w:t xml:space="preserve">, </w:t>
      </w:r>
      <w:proofErr w:type="spellStart"/>
      <w:r w:rsidR="007277D1" w:rsidRPr="007277D1">
        <w:rPr>
          <w:rFonts w:asciiTheme="majorHAnsi" w:eastAsia="Calibri" w:hAnsiTheme="majorHAnsi" w:cs="InterstateLight"/>
          <w:color w:val="000000"/>
          <w:lang w:val="de-DE" w:eastAsia="zh-CN"/>
        </w:rPr>
        <w:t>Hollanda</w:t>
      </w:r>
      <w:proofErr w:type="spellEnd"/>
      <w:r w:rsidR="001C0F9D" w:rsidRPr="002D7459">
        <w:rPr>
          <w:rFonts w:asciiTheme="majorHAnsi" w:eastAsia="Calibri" w:hAnsiTheme="majorHAnsi" w:cs="InterstateLight"/>
          <w:lang w:val="de-DE"/>
        </w:rPr>
        <w:t>.</w:t>
      </w:r>
    </w:p>
    <w:p w:rsidR="00CF6691" w:rsidRPr="002D7459" w:rsidRDefault="00CF6691" w:rsidP="000712B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FD5D77" w:rsidRDefault="000B65F8" w:rsidP="000712B6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9029C0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Pr="000B65F8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DÜZENLENEN EĞİTİM PROGRAMLARI</w:t>
      </w:r>
    </w:p>
    <w:p w:rsidR="00CF6691" w:rsidRPr="000B65F8" w:rsidRDefault="00CF6691" w:rsidP="000712B6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tbl>
      <w:tblPr>
        <w:tblStyle w:val="TabloKlavuzu"/>
        <w:tblW w:w="9212" w:type="dxa"/>
        <w:tblInd w:w="108" w:type="dxa"/>
        <w:tblLook w:val="04A0" w:firstRow="1" w:lastRow="0" w:firstColumn="1" w:lastColumn="0" w:noHBand="0" w:noVBand="1"/>
      </w:tblPr>
      <w:tblGrid>
        <w:gridCol w:w="1842"/>
        <w:gridCol w:w="1842"/>
        <w:gridCol w:w="2128"/>
        <w:gridCol w:w="1557"/>
        <w:gridCol w:w="1843"/>
      </w:tblGrid>
      <w:tr w:rsidR="00FD3C2D" w:rsidRPr="007632F4" w:rsidTr="00E95900">
        <w:tc>
          <w:tcPr>
            <w:tcW w:w="1842" w:type="dxa"/>
            <w:vAlign w:val="center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Eğitim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Programının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Başlığı</w:t>
            </w:r>
            <w:proofErr w:type="spellEnd"/>
          </w:p>
        </w:tc>
        <w:tc>
          <w:tcPr>
            <w:tcW w:w="1842" w:type="dxa"/>
            <w:vAlign w:val="center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Yöneticisi</w:t>
            </w:r>
            <w:proofErr w:type="spellEnd"/>
          </w:p>
        </w:tc>
        <w:tc>
          <w:tcPr>
            <w:tcW w:w="2128" w:type="dxa"/>
            <w:vAlign w:val="center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Görev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Alan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Merkez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Üyeleri</w:t>
            </w:r>
            <w:proofErr w:type="spellEnd"/>
          </w:p>
        </w:tc>
        <w:tc>
          <w:tcPr>
            <w:tcW w:w="1557" w:type="dxa"/>
            <w:vAlign w:val="center"/>
          </w:tcPr>
          <w:p w:rsidR="00FD3C2D" w:rsidRPr="004449B2" w:rsidRDefault="00FD3C2D" w:rsidP="00E9590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>Düzenlendiği</w:t>
            </w:r>
            <w:proofErr w:type="spellEnd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>Tarihler</w:t>
            </w:r>
            <w:proofErr w:type="spellEnd"/>
          </w:p>
        </w:tc>
        <w:tc>
          <w:tcPr>
            <w:tcW w:w="1843" w:type="dxa"/>
            <w:vAlign w:val="center"/>
          </w:tcPr>
          <w:p w:rsidR="00FD3C2D" w:rsidRPr="004449B2" w:rsidRDefault="00FD3C2D" w:rsidP="00E9590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>Katılan</w:t>
            </w:r>
            <w:proofErr w:type="spellEnd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>Kişi</w:t>
            </w:r>
            <w:proofErr w:type="spellEnd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49B2">
              <w:rPr>
                <w:rFonts w:ascii="Trebuchet MS" w:hAnsi="Trebuchet MS"/>
                <w:b/>
                <w:sz w:val="20"/>
                <w:szCs w:val="20"/>
                <w:lang w:val="de-DE"/>
              </w:rPr>
              <w:t>Sayısı</w:t>
            </w:r>
            <w:proofErr w:type="spellEnd"/>
          </w:p>
        </w:tc>
      </w:tr>
      <w:tr w:rsidR="00FD3C2D" w:rsidRPr="007632F4" w:rsidTr="00E95900">
        <w:tc>
          <w:tcPr>
            <w:tcW w:w="1842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Blockchain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Eğitim Programı </w:t>
            </w:r>
          </w:p>
        </w:tc>
        <w:tc>
          <w:tcPr>
            <w:tcW w:w="1842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Ayşegül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Toker</w:t>
            </w:r>
            <w:proofErr w:type="spellEnd"/>
          </w:p>
        </w:tc>
        <w:tc>
          <w:tcPr>
            <w:tcW w:w="2128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  <w:r w:rsid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 w:rsid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 w:rsid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Ali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Çoşkun</w:t>
            </w:r>
            <w:proofErr w:type="spellEnd"/>
            <w:r w:rsid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</w:tc>
        <w:tc>
          <w:tcPr>
            <w:tcW w:w="1557" w:type="dxa"/>
          </w:tcPr>
          <w:p w:rsidR="00FD3C2D" w:rsidRPr="007632F4" w:rsidRDefault="00FD3C2D" w:rsidP="004449B2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17.04.2018 - 16.05.2018 </w:t>
            </w:r>
          </w:p>
        </w:tc>
        <w:tc>
          <w:tcPr>
            <w:tcW w:w="1843" w:type="dxa"/>
          </w:tcPr>
          <w:p w:rsidR="00FD3C2D" w:rsidRPr="007632F4" w:rsidRDefault="00FD3C2D" w:rsidP="00E9590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</w:tr>
      <w:tr w:rsidR="00FD3C2D" w:rsidRPr="007632F4" w:rsidTr="00E95900">
        <w:tc>
          <w:tcPr>
            <w:tcW w:w="1842" w:type="dxa"/>
          </w:tcPr>
          <w:p w:rsidR="00FD3C2D" w:rsidRPr="004449B2" w:rsidRDefault="00FD3C2D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Kurumsal Etik ve Uyum Programı </w:t>
            </w:r>
          </w:p>
        </w:tc>
        <w:tc>
          <w:tcPr>
            <w:tcW w:w="1842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</w:tc>
        <w:tc>
          <w:tcPr>
            <w:tcW w:w="2128" w:type="dxa"/>
          </w:tcPr>
          <w:p w:rsidR="004449B2" w:rsidRPr="004449B2" w:rsidRDefault="004449B2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Ali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Çoşkun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FD3C2D" w:rsidRPr="004449B2" w:rsidRDefault="004449B2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</w:tc>
        <w:tc>
          <w:tcPr>
            <w:tcW w:w="1557" w:type="dxa"/>
          </w:tcPr>
          <w:p w:rsidR="00FD3C2D" w:rsidRPr="007632F4" w:rsidRDefault="00FD3C2D" w:rsidP="004449B2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10 Mart 2018-07 Nisan 2018 </w:t>
            </w:r>
          </w:p>
        </w:tc>
        <w:tc>
          <w:tcPr>
            <w:tcW w:w="1843" w:type="dxa"/>
          </w:tcPr>
          <w:p w:rsidR="00FD3C2D" w:rsidRPr="007632F4" w:rsidRDefault="00FD3C2D" w:rsidP="00E9590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21</w:t>
            </w:r>
          </w:p>
        </w:tc>
      </w:tr>
      <w:tr w:rsidR="00FD3C2D" w:rsidRPr="007632F4" w:rsidTr="00E95900">
        <w:tc>
          <w:tcPr>
            <w:tcW w:w="1842" w:type="dxa"/>
          </w:tcPr>
          <w:p w:rsidR="00FD3C2D" w:rsidRPr="004449B2" w:rsidRDefault="00FD3C2D" w:rsidP="004449B2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Yapay Zeka ve Robot Hukuku </w:t>
            </w:r>
          </w:p>
        </w:tc>
        <w:tc>
          <w:tcPr>
            <w:tcW w:w="1842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</w:tc>
        <w:tc>
          <w:tcPr>
            <w:tcW w:w="2128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</w:tc>
        <w:tc>
          <w:tcPr>
            <w:tcW w:w="1557" w:type="dxa"/>
          </w:tcPr>
          <w:p w:rsidR="00FD3C2D" w:rsidRPr="007632F4" w:rsidRDefault="00FD3C2D" w:rsidP="004449B2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4449B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Aralık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2018</w:t>
            </w:r>
          </w:p>
        </w:tc>
        <w:tc>
          <w:tcPr>
            <w:tcW w:w="1843" w:type="dxa"/>
          </w:tcPr>
          <w:p w:rsidR="00FD3C2D" w:rsidRPr="007632F4" w:rsidRDefault="00FD3C2D" w:rsidP="00E9590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</w:tr>
      <w:tr w:rsidR="00FD3C2D" w:rsidRPr="007632F4" w:rsidTr="004449B2">
        <w:tc>
          <w:tcPr>
            <w:tcW w:w="1842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Yenilikçi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Tarım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İşletmeciliği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Eğitimi</w:t>
            </w:r>
            <w:proofErr w:type="spellEnd"/>
          </w:p>
        </w:tc>
        <w:tc>
          <w:tcPr>
            <w:tcW w:w="1842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</w:p>
        </w:tc>
        <w:tc>
          <w:tcPr>
            <w:tcW w:w="2128" w:type="dxa"/>
          </w:tcPr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</w:p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</w:p>
          <w:p w:rsidR="00FD3C2D" w:rsidRPr="004449B2" w:rsidRDefault="00FD3C2D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Öğ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. Üyesi Dr.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</w:tc>
        <w:tc>
          <w:tcPr>
            <w:tcW w:w="1557" w:type="dxa"/>
            <w:vAlign w:val="bottom"/>
          </w:tcPr>
          <w:p w:rsidR="00FD3C2D" w:rsidRPr="004449B2" w:rsidRDefault="004449B2" w:rsidP="004449B2">
            <w:pPr>
              <w:spacing w:line="240" w:lineRule="exact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449B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01 Kasım 2018</w:t>
            </w:r>
          </w:p>
        </w:tc>
        <w:tc>
          <w:tcPr>
            <w:tcW w:w="1843" w:type="dxa"/>
          </w:tcPr>
          <w:p w:rsidR="00FD3C2D" w:rsidRDefault="00FD3C2D" w:rsidP="00E9590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14</w:t>
            </w:r>
          </w:p>
        </w:tc>
      </w:tr>
    </w:tbl>
    <w:p w:rsidR="00C14524" w:rsidRDefault="00C14524" w:rsidP="000712B6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9029C0" w:rsidRDefault="009029C0" w:rsidP="004449B2">
      <w:pPr>
        <w:spacing w:after="0" w:line="360" w:lineRule="auto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9029C0" w:rsidRDefault="009029C0" w:rsidP="004449B2">
      <w:pPr>
        <w:spacing w:after="0" w:line="360" w:lineRule="auto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4449B2" w:rsidRPr="004449B2" w:rsidRDefault="004449B2" w:rsidP="004449B2">
      <w:pPr>
        <w:spacing w:after="0" w:line="360" w:lineRule="auto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VI</w:t>
      </w:r>
      <w:r w:rsidR="009029C0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Pr="004449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SUNULAN DANIŞMANLIK HİZMETLERİ</w:t>
      </w:r>
    </w:p>
    <w:tbl>
      <w:tblPr>
        <w:tblStyle w:val="TabloKlavuzu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1590"/>
        <w:gridCol w:w="1545"/>
        <w:gridCol w:w="1591"/>
        <w:gridCol w:w="1401"/>
      </w:tblGrid>
      <w:tr w:rsidR="004449B2" w:rsidRPr="007632F4" w:rsidTr="004449B2">
        <w:tc>
          <w:tcPr>
            <w:tcW w:w="3085" w:type="dxa"/>
            <w:vAlign w:val="center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Danışmanlık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Sunulan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Kuruluş</w:t>
            </w:r>
            <w:proofErr w:type="spellEnd"/>
          </w:p>
        </w:tc>
        <w:tc>
          <w:tcPr>
            <w:tcW w:w="1590" w:type="dxa"/>
            <w:vAlign w:val="center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Danışmanlık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Sunan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Kişi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(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ler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)</w:t>
            </w:r>
          </w:p>
        </w:tc>
        <w:tc>
          <w:tcPr>
            <w:tcW w:w="1545" w:type="dxa"/>
            <w:vAlign w:val="center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Görev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Alan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Merkez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Üyeleri</w:t>
            </w:r>
            <w:proofErr w:type="spellEnd"/>
          </w:p>
        </w:tc>
        <w:tc>
          <w:tcPr>
            <w:tcW w:w="1591" w:type="dxa"/>
            <w:vAlign w:val="center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Danışmanlık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Süresi</w:t>
            </w:r>
            <w:proofErr w:type="spellEnd"/>
          </w:p>
        </w:tc>
        <w:tc>
          <w:tcPr>
            <w:tcW w:w="1401" w:type="dxa"/>
            <w:vAlign w:val="center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Merkeze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Sağlanan</w:t>
            </w:r>
            <w:proofErr w:type="spellEnd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b/>
                <w:color w:val="000000"/>
                <w:lang w:val="de-DE" w:eastAsia="zh-CN"/>
              </w:rPr>
              <w:t>Gelir</w:t>
            </w:r>
            <w:proofErr w:type="spellEnd"/>
          </w:p>
        </w:tc>
      </w:tr>
      <w:tr w:rsidR="004449B2" w:rsidRPr="007632F4" w:rsidTr="004449B2">
        <w:tc>
          <w:tcPr>
            <w:tcW w:w="3085" w:type="dxa"/>
          </w:tcPr>
          <w:tbl>
            <w:tblPr>
              <w:tblW w:w="2869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085"/>
            </w:tblGrid>
            <w:tr w:rsidR="006A0147" w:rsidRPr="006A0147" w:rsidTr="006A01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449B2" w:rsidRPr="006A0147" w:rsidRDefault="004449B2" w:rsidP="004449B2">
                  <w:pPr>
                    <w:rPr>
                      <w:rFonts w:asciiTheme="majorHAnsi" w:eastAsia="Calibri" w:hAnsiTheme="majorHAnsi" w:cs="InterstateLight"/>
                      <w:lang w:val="de-DE" w:eastAsia="zh-CN"/>
                    </w:rPr>
                  </w:pPr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GAP Organik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Tarım</w:t>
                  </w:r>
                  <w:proofErr w:type="spellEnd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Kümelenmesi</w:t>
                  </w:r>
                  <w:proofErr w:type="spellEnd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Kalk.Projesi</w:t>
                  </w:r>
                  <w:proofErr w:type="spellEnd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için</w:t>
                  </w:r>
                  <w:proofErr w:type="spellEnd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Ölçeklendirilebilir</w:t>
                  </w:r>
                  <w:proofErr w:type="spellEnd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ve</w:t>
                  </w:r>
                  <w:proofErr w:type="spellEnd"/>
                  <w:r w:rsidR="00A4001B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Yenilebilir</w:t>
                  </w:r>
                  <w:proofErr w:type="spellEnd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 xml:space="preserve"> Model </w:t>
                  </w:r>
                  <w:proofErr w:type="spellStart"/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Danışmanlığı</w:t>
                  </w:r>
                  <w:proofErr w:type="spellEnd"/>
                </w:p>
              </w:tc>
              <w:tc>
                <w:tcPr>
                  <w:tcW w:w="1040" w:type="dxa"/>
                  <w:shd w:val="clear" w:color="auto" w:fill="auto"/>
                  <w:vAlign w:val="center"/>
                  <w:hideMark/>
                </w:tcPr>
                <w:p w:rsidR="004449B2" w:rsidRPr="006A0147" w:rsidRDefault="004449B2" w:rsidP="004449B2">
                  <w:pPr>
                    <w:rPr>
                      <w:rFonts w:asciiTheme="majorHAnsi" w:eastAsia="Calibri" w:hAnsiTheme="majorHAnsi" w:cs="InterstateLight"/>
                      <w:lang w:val="de-DE" w:eastAsia="zh-CN"/>
                    </w:rPr>
                  </w:pPr>
                  <w:r w:rsidRPr="006A0147">
                    <w:rPr>
                      <w:rFonts w:asciiTheme="majorHAnsi" w:eastAsia="Calibri" w:hAnsiTheme="majorHAnsi" w:cs="InterstateLight"/>
                      <w:lang w:val="de-DE" w:eastAsia="zh-CN"/>
                    </w:rPr>
                    <w:t>UNDP-Birleşmiş Milletler Kalkınma Programı (IRE Project)</w:t>
                  </w:r>
                </w:p>
              </w:tc>
            </w:tr>
          </w:tbl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0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45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1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6 ay</w:t>
            </w:r>
          </w:p>
        </w:tc>
        <w:tc>
          <w:tcPr>
            <w:tcW w:w="1401" w:type="dxa"/>
          </w:tcPr>
          <w:p w:rsidR="004449B2" w:rsidRPr="004449B2" w:rsidRDefault="004449B2" w:rsidP="00E95900">
            <w:pP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2.706,40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</w:tr>
      <w:tr w:rsidR="004449B2" w:rsidRPr="007632F4" w:rsidTr="004449B2">
        <w:tc>
          <w:tcPr>
            <w:tcW w:w="3085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356"/>
              <w:gridCol w:w="66"/>
              <w:gridCol w:w="81"/>
            </w:tblGrid>
            <w:tr w:rsidR="004449B2" w:rsidRPr="004449B2" w:rsidTr="00E9590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449B2" w:rsidRPr="004449B2" w:rsidRDefault="004449B2" w:rsidP="00E95900">
                  <w:pPr>
                    <w:spacing w:line="240" w:lineRule="auto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Döngüsel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Ekonomi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Danışmanlığı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449B2" w:rsidRPr="004449B2" w:rsidRDefault="004449B2" w:rsidP="00E95900">
                  <w:pPr>
                    <w:spacing w:line="240" w:lineRule="auto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GAP BÖLGE KALKINMA İDARESİ BAŞKANLIĞI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449B2" w:rsidRPr="004449B2" w:rsidRDefault="004449B2" w:rsidP="00E95900">
                  <w:pPr>
                    <w:spacing w:line="240" w:lineRule="auto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449B2" w:rsidRPr="004449B2" w:rsidRDefault="004449B2" w:rsidP="00E95900">
                  <w:pPr>
                    <w:spacing w:line="240" w:lineRule="auto"/>
                    <w:jc w:val="right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</w:p>
              </w:tc>
            </w:tr>
          </w:tbl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0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45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Oğuzhan</w:t>
            </w:r>
            <w:proofErr w:type="spellEnd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Aygören</w:t>
            </w:r>
            <w:proofErr w:type="spellEnd"/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1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1 ay</w:t>
            </w:r>
          </w:p>
        </w:tc>
        <w:tc>
          <w:tcPr>
            <w:tcW w:w="1401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3.750,00</w:t>
            </w:r>
          </w:p>
        </w:tc>
      </w:tr>
      <w:tr w:rsidR="004449B2" w:rsidRPr="007632F4" w:rsidTr="004449B2">
        <w:tc>
          <w:tcPr>
            <w:tcW w:w="3085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5"/>
            </w:tblGrid>
            <w:tr w:rsidR="004449B2" w:rsidRPr="004449B2" w:rsidTr="006A014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449B2" w:rsidRPr="004449B2" w:rsidRDefault="004449B2" w:rsidP="00E95900">
                  <w:pPr>
                    <w:spacing w:line="240" w:lineRule="auto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Türkiye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Tarım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ve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Gıda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Sektörünün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Finansmanına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Yönelik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Yenilikçi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Yaklaşımlar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Hakkında</w:t>
                  </w:r>
                  <w:proofErr w:type="spellEnd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 xml:space="preserve"> </w:t>
                  </w:r>
                  <w:proofErr w:type="spellStart"/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Danışmanlık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449B2" w:rsidRPr="004449B2" w:rsidRDefault="004449B2" w:rsidP="00E95900">
                  <w:pPr>
                    <w:spacing w:line="240" w:lineRule="auto"/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</w:pPr>
                  <w:r w:rsidRPr="004449B2">
                    <w:rPr>
                      <w:rFonts w:asciiTheme="majorHAnsi" w:eastAsia="Calibri" w:hAnsiTheme="majorHAnsi" w:cs="InterstateLight"/>
                      <w:color w:val="000000"/>
                      <w:lang w:val="de-DE" w:eastAsia="zh-CN"/>
                    </w:rPr>
                    <w:t>DENİZBANK A.Ş</w:t>
                  </w:r>
                </w:p>
              </w:tc>
            </w:tr>
          </w:tbl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0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45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Gökhan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Özertan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Arzu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Tektaş</w:t>
            </w:r>
            <w:proofErr w:type="spellEnd"/>
            <w:r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,</w:t>
            </w:r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 xml:space="preserve">Aslı Deniz </w:t>
            </w:r>
            <w:proofErr w:type="spellStart"/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Helvacıoğlu</w:t>
            </w:r>
            <w:proofErr w:type="spellEnd"/>
          </w:p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</w:p>
        </w:tc>
        <w:tc>
          <w:tcPr>
            <w:tcW w:w="1591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1 yıl</w:t>
            </w:r>
          </w:p>
        </w:tc>
        <w:tc>
          <w:tcPr>
            <w:tcW w:w="1401" w:type="dxa"/>
          </w:tcPr>
          <w:p w:rsidR="004449B2" w:rsidRPr="004449B2" w:rsidRDefault="004449B2" w:rsidP="00E95900">
            <w:pPr>
              <w:spacing w:line="240" w:lineRule="exact"/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</w:pPr>
            <w:r w:rsidRPr="004449B2">
              <w:rPr>
                <w:rFonts w:asciiTheme="majorHAnsi" w:eastAsia="Calibri" w:hAnsiTheme="majorHAnsi" w:cs="InterstateLight"/>
                <w:color w:val="000000"/>
                <w:lang w:val="de-DE" w:eastAsia="zh-CN"/>
              </w:rPr>
              <w:t>20.000</w:t>
            </w:r>
          </w:p>
        </w:tc>
      </w:tr>
    </w:tbl>
    <w:p w:rsidR="004449B2" w:rsidRDefault="004449B2" w:rsidP="004449B2">
      <w:pPr>
        <w:rPr>
          <w:rFonts w:ascii="Trebuchet MS" w:hAnsi="Trebuchet MS"/>
          <w:sz w:val="20"/>
          <w:szCs w:val="20"/>
        </w:rPr>
      </w:pPr>
    </w:p>
    <w:p w:rsidR="00434236" w:rsidRDefault="006D0BBA" w:rsidP="00CF6691">
      <w:pPr>
        <w:spacing w:after="0" w:line="280" w:lineRule="exact"/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VIII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6A014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9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7B1AAA" w:rsidRDefault="00F50C5B" w:rsidP="000712B6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p w:rsidR="00D92881" w:rsidRPr="00F37220" w:rsidRDefault="00D92881" w:rsidP="000712B6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3134"/>
        <w:gridCol w:w="1984"/>
      </w:tblGrid>
      <w:tr w:rsidR="00F37220" w:rsidRPr="00F37220" w:rsidTr="00D92881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20" w:rsidRPr="00D92881" w:rsidRDefault="00F37220" w:rsidP="00D92881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D92881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20" w:rsidRPr="00D92881" w:rsidRDefault="00F37220" w:rsidP="00D92881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D92881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D92881" w:rsidRPr="00F37220" w:rsidTr="00D92881">
        <w:trPr>
          <w:trHeight w:val="3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932E8A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Araştırma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932E8A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</w:t>
            </w:r>
          </w:p>
        </w:tc>
      </w:tr>
      <w:tr w:rsidR="00D92881" w:rsidRPr="00F37220" w:rsidTr="00D928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D92881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Toplantı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932E8A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</w:t>
            </w:r>
          </w:p>
        </w:tc>
      </w:tr>
      <w:tr w:rsidR="00D92881" w:rsidRPr="00F37220" w:rsidTr="00D92881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932E8A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Danışmanlık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1</w:t>
            </w:r>
          </w:p>
        </w:tc>
      </w:tr>
      <w:tr w:rsidR="00D92881" w:rsidRPr="00F37220" w:rsidTr="009029C0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81" w:rsidRPr="00D92881" w:rsidRDefault="00D92881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Eğitim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3</w:t>
            </w:r>
          </w:p>
        </w:tc>
      </w:tr>
      <w:tr w:rsidR="00D92881" w:rsidRPr="00F37220" w:rsidTr="00D928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Yayın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81" w:rsidRPr="00D92881" w:rsidRDefault="00D92881" w:rsidP="00D92881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D92881">
              <w:rPr>
                <w:rFonts w:asciiTheme="majorHAnsi" w:hAnsiTheme="majorHAnsi"/>
                <w:lang w:eastAsia="ko-KR"/>
              </w:rPr>
              <w:t>2</w:t>
            </w:r>
          </w:p>
        </w:tc>
      </w:tr>
    </w:tbl>
    <w:p w:rsidR="00E84285" w:rsidRDefault="00E84285" w:rsidP="000712B6">
      <w:pPr>
        <w:spacing w:after="0" w:line="300" w:lineRule="exact"/>
        <w:jc w:val="both"/>
        <w:rPr>
          <w:rFonts w:asciiTheme="majorHAnsi" w:hAnsiTheme="majorHAnsi"/>
          <w:lang w:eastAsia="ko-KR"/>
        </w:rPr>
      </w:pPr>
    </w:p>
    <w:p w:rsidR="00932E8A" w:rsidRPr="00C95CC8" w:rsidRDefault="00932E8A" w:rsidP="000712B6">
      <w:pPr>
        <w:spacing w:after="0" w:line="300" w:lineRule="exact"/>
        <w:jc w:val="both"/>
        <w:rPr>
          <w:rFonts w:asciiTheme="majorHAnsi" w:hAnsiTheme="majorHAnsi"/>
          <w:lang w:eastAsia="ko-KR"/>
        </w:rPr>
      </w:pPr>
    </w:p>
    <w:sectPr w:rsidR="00932E8A" w:rsidRPr="00C95CC8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5B" w:rsidRDefault="00A6585B" w:rsidP="00D9381D">
      <w:pPr>
        <w:spacing w:after="0" w:line="240" w:lineRule="auto"/>
      </w:pPr>
      <w:r>
        <w:separator/>
      </w:r>
    </w:p>
  </w:endnote>
  <w:endnote w:type="continuationSeparator" w:id="0">
    <w:p w:rsidR="00A6585B" w:rsidRDefault="00A6585B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5B" w:rsidRDefault="00A6585B" w:rsidP="00D9381D">
      <w:pPr>
        <w:spacing w:after="0" w:line="240" w:lineRule="auto"/>
      </w:pPr>
      <w:r>
        <w:separator/>
      </w:r>
    </w:p>
  </w:footnote>
  <w:footnote w:type="continuationSeparator" w:id="0">
    <w:p w:rsidR="00A6585B" w:rsidRDefault="00A6585B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8B0C3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B0C37" w:rsidRDefault="003B2737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İnovasyon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ve Rekabet Odaklı Kalkınma Çalışmaları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B0C37" w:rsidRDefault="008B0C37" w:rsidP="00ED69EE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ED69EE">
                <w:rPr>
                  <w:b/>
                  <w:color w:val="808080" w:themeColor="background1" w:themeShade="80"/>
                  <w:sz w:val="24"/>
                  <w:szCs w:val="24"/>
                </w:rPr>
                <w:t>8</w:t>
              </w:r>
            </w:p>
          </w:tc>
        </w:sdtContent>
      </w:sdt>
    </w:tr>
  </w:tbl>
  <w:p w:rsidR="008B0C37" w:rsidRDefault="008B0C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5132_"/>
      </v:shape>
    </w:pict>
  </w:numPicBullet>
  <w:abstractNum w:abstractNumId="0">
    <w:nsid w:val="00B6028A"/>
    <w:multiLevelType w:val="hybridMultilevel"/>
    <w:tmpl w:val="55FAF3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24477"/>
    <w:multiLevelType w:val="hybridMultilevel"/>
    <w:tmpl w:val="85FE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14620A"/>
    <w:multiLevelType w:val="multilevel"/>
    <w:tmpl w:val="AA7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A920369"/>
    <w:multiLevelType w:val="hybridMultilevel"/>
    <w:tmpl w:val="85FE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641F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40F"/>
    <w:rsid w:val="00071818"/>
    <w:rsid w:val="00071B2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60FA"/>
    <w:rsid w:val="000F0096"/>
    <w:rsid w:val="000F0592"/>
    <w:rsid w:val="00103979"/>
    <w:rsid w:val="00103A39"/>
    <w:rsid w:val="00106F2C"/>
    <w:rsid w:val="00121071"/>
    <w:rsid w:val="001221D1"/>
    <w:rsid w:val="00122FFC"/>
    <w:rsid w:val="00124E27"/>
    <w:rsid w:val="00125B29"/>
    <w:rsid w:val="001262F6"/>
    <w:rsid w:val="00126DB4"/>
    <w:rsid w:val="0013058D"/>
    <w:rsid w:val="00133E65"/>
    <w:rsid w:val="00140178"/>
    <w:rsid w:val="00143EA3"/>
    <w:rsid w:val="00145601"/>
    <w:rsid w:val="001505C2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A0DA7"/>
    <w:rsid w:val="001A58CA"/>
    <w:rsid w:val="001A769F"/>
    <w:rsid w:val="001B0FD7"/>
    <w:rsid w:val="001B3A74"/>
    <w:rsid w:val="001B56DB"/>
    <w:rsid w:val="001B64B8"/>
    <w:rsid w:val="001B7F8B"/>
    <w:rsid w:val="001C0F9D"/>
    <w:rsid w:val="001C13BE"/>
    <w:rsid w:val="001C32B6"/>
    <w:rsid w:val="001C48E0"/>
    <w:rsid w:val="001C57B5"/>
    <w:rsid w:val="001C78E3"/>
    <w:rsid w:val="001D131C"/>
    <w:rsid w:val="001D5ACE"/>
    <w:rsid w:val="001E1D3A"/>
    <w:rsid w:val="001E5E22"/>
    <w:rsid w:val="001F1502"/>
    <w:rsid w:val="001F1D44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1FDC"/>
    <w:rsid w:val="0023337A"/>
    <w:rsid w:val="00235FA1"/>
    <w:rsid w:val="0024069D"/>
    <w:rsid w:val="002430E9"/>
    <w:rsid w:val="00246E71"/>
    <w:rsid w:val="002471B2"/>
    <w:rsid w:val="00256B00"/>
    <w:rsid w:val="002631D1"/>
    <w:rsid w:val="00276123"/>
    <w:rsid w:val="002822B5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D7459"/>
    <w:rsid w:val="002E006E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622"/>
    <w:rsid w:val="00350705"/>
    <w:rsid w:val="00350FDA"/>
    <w:rsid w:val="003523DA"/>
    <w:rsid w:val="0035275B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1729"/>
    <w:rsid w:val="003726CD"/>
    <w:rsid w:val="00376E85"/>
    <w:rsid w:val="0037779A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974F8"/>
    <w:rsid w:val="003A33C4"/>
    <w:rsid w:val="003A36D3"/>
    <w:rsid w:val="003A636B"/>
    <w:rsid w:val="003B1A72"/>
    <w:rsid w:val="003B2737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49B2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536E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80285"/>
    <w:rsid w:val="00581A31"/>
    <w:rsid w:val="005847F1"/>
    <w:rsid w:val="00585DD7"/>
    <w:rsid w:val="005878EE"/>
    <w:rsid w:val="00587D31"/>
    <w:rsid w:val="00590A9E"/>
    <w:rsid w:val="00592236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FF6"/>
    <w:rsid w:val="006375F6"/>
    <w:rsid w:val="006467D3"/>
    <w:rsid w:val="00650006"/>
    <w:rsid w:val="00650BC6"/>
    <w:rsid w:val="00653E77"/>
    <w:rsid w:val="00654156"/>
    <w:rsid w:val="00660C79"/>
    <w:rsid w:val="00662015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BDE"/>
    <w:rsid w:val="00682598"/>
    <w:rsid w:val="006958ED"/>
    <w:rsid w:val="00696ABA"/>
    <w:rsid w:val="00696F88"/>
    <w:rsid w:val="00697D19"/>
    <w:rsid w:val="006A0147"/>
    <w:rsid w:val="006A08EB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0BBA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277D1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656F"/>
    <w:rsid w:val="0076005F"/>
    <w:rsid w:val="00762119"/>
    <w:rsid w:val="007623CA"/>
    <w:rsid w:val="007646E5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0E6E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56BA"/>
    <w:rsid w:val="008470BE"/>
    <w:rsid w:val="00854862"/>
    <w:rsid w:val="00861971"/>
    <w:rsid w:val="0086432E"/>
    <w:rsid w:val="00865D23"/>
    <w:rsid w:val="00867201"/>
    <w:rsid w:val="00867795"/>
    <w:rsid w:val="00874D2E"/>
    <w:rsid w:val="008750F4"/>
    <w:rsid w:val="008755F6"/>
    <w:rsid w:val="008759F2"/>
    <w:rsid w:val="00876E0B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D0D"/>
    <w:rsid w:val="00895934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D1AA4"/>
    <w:rsid w:val="008D27DB"/>
    <w:rsid w:val="008D7CD1"/>
    <w:rsid w:val="008E23EF"/>
    <w:rsid w:val="008E4E94"/>
    <w:rsid w:val="008E6EBE"/>
    <w:rsid w:val="008E733D"/>
    <w:rsid w:val="008F2793"/>
    <w:rsid w:val="008F291E"/>
    <w:rsid w:val="008F5B66"/>
    <w:rsid w:val="008F5EB0"/>
    <w:rsid w:val="008F5FFF"/>
    <w:rsid w:val="008F7829"/>
    <w:rsid w:val="009029C0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2E8A"/>
    <w:rsid w:val="009330B2"/>
    <w:rsid w:val="009345B1"/>
    <w:rsid w:val="009364CE"/>
    <w:rsid w:val="00937950"/>
    <w:rsid w:val="00941339"/>
    <w:rsid w:val="0094199C"/>
    <w:rsid w:val="00942362"/>
    <w:rsid w:val="009425D3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9F73DF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4001B"/>
    <w:rsid w:val="00A41D59"/>
    <w:rsid w:val="00A50C8A"/>
    <w:rsid w:val="00A50E9F"/>
    <w:rsid w:val="00A51C55"/>
    <w:rsid w:val="00A53E5B"/>
    <w:rsid w:val="00A612E0"/>
    <w:rsid w:val="00A6585B"/>
    <w:rsid w:val="00A67FC5"/>
    <w:rsid w:val="00A7092A"/>
    <w:rsid w:val="00A75686"/>
    <w:rsid w:val="00A77ECF"/>
    <w:rsid w:val="00A84360"/>
    <w:rsid w:val="00A84FD8"/>
    <w:rsid w:val="00A9143F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071FC"/>
    <w:rsid w:val="00C110D3"/>
    <w:rsid w:val="00C11E85"/>
    <w:rsid w:val="00C13B05"/>
    <w:rsid w:val="00C14524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3CF0"/>
    <w:rsid w:val="00C559B3"/>
    <w:rsid w:val="00C60496"/>
    <w:rsid w:val="00C61760"/>
    <w:rsid w:val="00C61FEF"/>
    <w:rsid w:val="00C65B78"/>
    <w:rsid w:val="00C66525"/>
    <w:rsid w:val="00C66726"/>
    <w:rsid w:val="00C712BD"/>
    <w:rsid w:val="00C773BF"/>
    <w:rsid w:val="00C825C8"/>
    <w:rsid w:val="00C83639"/>
    <w:rsid w:val="00C839FE"/>
    <w:rsid w:val="00C840A6"/>
    <w:rsid w:val="00C84437"/>
    <w:rsid w:val="00C848DA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3A6"/>
    <w:rsid w:val="00CB122E"/>
    <w:rsid w:val="00CB2CDD"/>
    <w:rsid w:val="00CB33A4"/>
    <w:rsid w:val="00CB4F93"/>
    <w:rsid w:val="00CB572A"/>
    <w:rsid w:val="00CC044E"/>
    <w:rsid w:val="00CC53C8"/>
    <w:rsid w:val="00CD64A4"/>
    <w:rsid w:val="00CE229A"/>
    <w:rsid w:val="00CE3F1D"/>
    <w:rsid w:val="00CE3F6F"/>
    <w:rsid w:val="00CE6890"/>
    <w:rsid w:val="00CE68EE"/>
    <w:rsid w:val="00CF35BF"/>
    <w:rsid w:val="00CF6691"/>
    <w:rsid w:val="00CF77C3"/>
    <w:rsid w:val="00D01076"/>
    <w:rsid w:val="00D03645"/>
    <w:rsid w:val="00D0465C"/>
    <w:rsid w:val="00D06D89"/>
    <w:rsid w:val="00D07D99"/>
    <w:rsid w:val="00D16997"/>
    <w:rsid w:val="00D16D4D"/>
    <w:rsid w:val="00D215B5"/>
    <w:rsid w:val="00D223C5"/>
    <w:rsid w:val="00D23791"/>
    <w:rsid w:val="00D26869"/>
    <w:rsid w:val="00D26D57"/>
    <w:rsid w:val="00D27D52"/>
    <w:rsid w:val="00D3072E"/>
    <w:rsid w:val="00D324AB"/>
    <w:rsid w:val="00D32ECF"/>
    <w:rsid w:val="00D34F03"/>
    <w:rsid w:val="00D42114"/>
    <w:rsid w:val="00D452D3"/>
    <w:rsid w:val="00D50B7A"/>
    <w:rsid w:val="00D53C35"/>
    <w:rsid w:val="00D55C7B"/>
    <w:rsid w:val="00D60587"/>
    <w:rsid w:val="00D60632"/>
    <w:rsid w:val="00D60675"/>
    <w:rsid w:val="00D650B6"/>
    <w:rsid w:val="00D6516E"/>
    <w:rsid w:val="00D6527A"/>
    <w:rsid w:val="00D6747B"/>
    <w:rsid w:val="00D71D5E"/>
    <w:rsid w:val="00D736CE"/>
    <w:rsid w:val="00D73EAD"/>
    <w:rsid w:val="00D754BD"/>
    <w:rsid w:val="00D76A4E"/>
    <w:rsid w:val="00D76D14"/>
    <w:rsid w:val="00D76DA7"/>
    <w:rsid w:val="00D82699"/>
    <w:rsid w:val="00D83B0A"/>
    <w:rsid w:val="00D9067F"/>
    <w:rsid w:val="00D9080F"/>
    <w:rsid w:val="00D9120B"/>
    <w:rsid w:val="00D914D3"/>
    <w:rsid w:val="00D92101"/>
    <w:rsid w:val="00D9288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5105E"/>
    <w:rsid w:val="00E51E06"/>
    <w:rsid w:val="00E53A06"/>
    <w:rsid w:val="00E5421F"/>
    <w:rsid w:val="00E60940"/>
    <w:rsid w:val="00E6152D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94D16"/>
    <w:rsid w:val="00EA0E43"/>
    <w:rsid w:val="00EA3058"/>
    <w:rsid w:val="00EA7416"/>
    <w:rsid w:val="00EB42EA"/>
    <w:rsid w:val="00EB456B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D69EE"/>
    <w:rsid w:val="00EE0E06"/>
    <w:rsid w:val="00EE2CF3"/>
    <w:rsid w:val="00EE77E4"/>
    <w:rsid w:val="00EF5CE4"/>
    <w:rsid w:val="00EF6EC2"/>
    <w:rsid w:val="00EF7600"/>
    <w:rsid w:val="00F00EE1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3440"/>
    <w:rsid w:val="00F647E4"/>
    <w:rsid w:val="00F652E7"/>
    <w:rsid w:val="00F673E9"/>
    <w:rsid w:val="00F700C4"/>
    <w:rsid w:val="00F72D6D"/>
    <w:rsid w:val="00F75731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3C2D"/>
    <w:rsid w:val="00FD4B99"/>
    <w:rsid w:val="00FD5D77"/>
    <w:rsid w:val="00FE480E"/>
    <w:rsid w:val="00FE51F3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84C42-D2C0-44FB-95F1-20F665C6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İnovasyon ve Rekabet Odaklı Kalkınma Çalışmaları Uygulama ve Araştırma Merkezi</vt:lpstr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İnovasyon ve Rekabet Odaklı Kalkınma Çalışmaları Uygulama ve Araştırma Merkezi</dc:title>
  <dc:subject>2018</dc:subject>
  <dc:creator>Gülşen Mutlu</dc:creator>
  <cp:lastModifiedBy>pc1</cp:lastModifiedBy>
  <cp:revision>288</cp:revision>
  <dcterms:created xsi:type="dcterms:W3CDTF">2017-01-30T06:56:00Z</dcterms:created>
  <dcterms:modified xsi:type="dcterms:W3CDTF">2019-04-09T13:23:00Z</dcterms:modified>
</cp:coreProperties>
</file>